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74" w:rsidRDefault="00A36F9E">
      <w:bookmarkStart w:id="0" w:name="_GoBack"/>
      <w:bookmarkEnd w:id="0"/>
      <w:r>
        <w:t>Water temperature at Lower Granite Forebay, comparison of 2016, 2015 and 2005-2014 average (DART)</w:t>
      </w:r>
    </w:p>
    <w:p w:rsidR="00A36F9E" w:rsidRDefault="00A36F9E">
      <w:r w:rsidRPr="00A36F9E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http://www.cbr.washington.edu/dart/cs/tmp_jpgraph/rivermg_1462488210_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br.washington.edu/dart/cs/tmp_jpgraph/rivermg_1462488210_8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9E" w:rsidRDefault="00A36F9E"/>
    <w:p w:rsidR="00A36F9E" w:rsidRDefault="00A36F9E">
      <w:r>
        <w:br w:type="page"/>
      </w:r>
    </w:p>
    <w:p w:rsidR="00A36F9E" w:rsidRDefault="00A36F9E">
      <w:r>
        <w:lastRenderedPageBreak/>
        <w:t xml:space="preserve">Comparison of all years from 1985-2016 when water temperatures at Lower Granite were greater than or equal to 7° C by March 16.  </w:t>
      </w:r>
    </w:p>
    <w:p w:rsidR="00EC7DEA" w:rsidRDefault="00A36F9E">
      <w:r>
        <w:rPr>
          <w:noProof/>
        </w:rPr>
        <w:drawing>
          <wp:inline distT="0" distB="0" distL="0" distR="0" wp14:anchorId="2BE2D4F0" wp14:editId="380FCA8A">
            <wp:extent cx="7543800" cy="548089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29" cy="54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DEA" w:rsidRDefault="00EC7DEA">
      <w:r>
        <w:br w:type="page"/>
      </w:r>
    </w:p>
    <w:p w:rsidR="00EC7DEA" w:rsidRDefault="00EC7DEA">
      <w:r>
        <w:rPr>
          <w:noProof/>
        </w:rPr>
        <w:lastRenderedPageBreak/>
        <w:drawing>
          <wp:inline distT="0" distB="0" distL="0" distR="0" wp14:anchorId="3E17B719" wp14:editId="6DEC7424">
            <wp:extent cx="8664907" cy="6290765"/>
            <wp:effectExtent l="0" t="0" r="3175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7DEA" w:rsidRDefault="00EC7DEA">
      <w:r>
        <w:br w:type="page"/>
      </w:r>
    </w:p>
    <w:p w:rsidR="00EC7DEA" w:rsidRDefault="00EC7DEA">
      <w:r>
        <w:rPr>
          <w:noProof/>
        </w:rPr>
        <w:drawing>
          <wp:inline distT="0" distB="0" distL="0" distR="0">
            <wp:extent cx="6848475" cy="6362700"/>
            <wp:effectExtent l="0" t="0" r="9525" b="0"/>
            <wp:docPr id="4" name="Picture 4" descr="http://www.cpc.ncep.noaa.gov/products/predictions/long_range/lead01/off01_tem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pc.ncep.noaa.gov/products/predictions/long_range/lead01/off01_temp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DEA" w:rsidRDefault="00EC7DEA">
      <w:r>
        <w:br w:type="page"/>
      </w:r>
    </w:p>
    <w:p w:rsidR="00A36F9E" w:rsidRDefault="00EC7DEA">
      <w:r w:rsidRPr="00EC7DEA">
        <w:rPr>
          <w:noProof/>
        </w:rPr>
        <w:drawing>
          <wp:inline distT="0" distB="0" distL="0" distR="0">
            <wp:extent cx="7772400" cy="10058400"/>
            <wp:effectExtent l="0" t="0" r="0" b="0"/>
            <wp:docPr id="5" name="Picture 5" descr="http://www.wcc.nrcs.usda.gov/ftpref/support/water/westwide/streamflow/wy2016/strm16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cc.nrcs.usda.gov/ftpref/support/water/westwide/streamflow/wy2016/strm16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F9E" w:rsidSect="00A36F9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9E"/>
    <w:rsid w:val="00A36F9E"/>
    <w:rsid w:val="00DE4C29"/>
    <w:rsid w:val="00EC7DEA"/>
    <w:rsid w:val="00F3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Blane.Bellerud\Documents\water%20particle%20travel%20time\LWG%20temperatures.xlsx" TargetMode="External"/><Relationship Id="rId4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Relationship between the first</a:t>
            </a:r>
            <a:r>
              <a:rPr lang="en-US" baseline="0"/>
              <a:t> day water temperature exceeced 19°C at Lower Granite Forebay and the  Intermountain snowpack estimate (Snow Water Equivalent) 2004-2015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2334194700531698E-2"/>
          <c:y val="0.15556136654286085"/>
          <c:w val="0.91319629858693241"/>
          <c:h val="0.77741689603728636"/>
        </c:manualLayout>
      </c:layout>
      <c:scatterChart>
        <c:scatterStyle val="lineMarker"/>
        <c:varyColors val="0"/>
        <c:ser>
          <c:idx val="0"/>
          <c:order val="0"/>
          <c:tx>
            <c:v>Observations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fld id="{E18EA6FA-29EF-43F5-B3A9-32022EE5B9AD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E8EAB5D-945D-4CA8-8D32-3D53D238FEF7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77260C5-3F2F-4206-B90B-071C5850CB24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18AAF00B-2E48-4821-BD9E-E4E42122646B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38228942-6A8F-4E62-A745-977C82324B64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AC2D04FE-AC64-4E3B-A7AA-7A24E81F1439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102F8C2B-9C13-4C00-B2FE-A7BBAF1F3C37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479B6BAB-6E0D-4C9A-BC42-BFEACAD32C3C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DDB5EFB9-6653-485F-BCC6-5819C3391991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28D81136-F115-441C-B656-88D7F2620D86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E26924AE-FEDE-4245-B8B0-E19B56BD8687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3CFE75D4-0CD9-40D9-A5A0-30CDE8206B67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rivermg_1462227529_121!$AU$10:$AU$21</c:f>
              <c:numCache>
                <c:formatCode>General</c:formatCode>
                <c:ptCount val="12"/>
                <c:pt idx="0">
                  <c:v>0.1</c:v>
                </c:pt>
                <c:pt idx="1">
                  <c:v>0.2</c:v>
                </c:pt>
                <c:pt idx="2">
                  <c:v>0.2</c:v>
                </c:pt>
                <c:pt idx="3">
                  <c:v>0.3</c:v>
                </c:pt>
                <c:pt idx="4">
                  <c:v>1.1000000000000001</c:v>
                </c:pt>
                <c:pt idx="5">
                  <c:v>0.4</c:v>
                </c:pt>
                <c:pt idx="6">
                  <c:v>0.6</c:v>
                </c:pt>
                <c:pt idx="7">
                  <c:v>0.9</c:v>
                </c:pt>
                <c:pt idx="8">
                  <c:v>0.1</c:v>
                </c:pt>
                <c:pt idx="9">
                  <c:v>0.4</c:v>
                </c:pt>
                <c:pt idx="10">
                  <c:v>0.1</c:v>
                </c:pt>
                <c:pt idx="11">
                  <c:v>0.02</c:v>
                </c:pt>
              </c:numCache>
            </c:numRef>
          </c:xVal>
          <c:yVal>
            <c:numRef>
              <c:f>rivermg_1462227529_121!$AQ$10:$AQ$21</c:f>
              <c:numCache>
                <c:formatCode>General</c:formatCode>
                <c:ptCount val="12"/>
                <c:pt idx="0">
                  <c:v>163</c:v>
                </c:pt>
                <c:pt idx="1">
                  <c:v>198</c:v>
                </c:pt>
                <c:pt idx="2">
                  <c:v>180</c:v>
                </c:pt>
                <c:pt idx="3">
                  <c:v>192</c:v>
                </c:pt>
                <c:pt idx="4">
                  <c:v>239</c:v>
                </c:pt>
                <c:pt idx="5">
                  <c:v>219</c:v>
                </c:pt>
                <c:pt idx="6">
                  <c:v>186</c:v>
                </c:pt>
                <c:pt idx="7">
                  <c:v>222</c:v>
                </c:pt>
                <c:pt idx="8">
                  <c:v>183</c:v>
                </c:pt>
                <c:pt idx="9">
                  <c:v>180</c:v>
                </c:pt>
                <c:pt idx="10">
                  <c:v>180</c:v>
                </c:pt>
                <c:pt idx="11">
                  <c:v>178</c:v>
                </c:pt>
              </c:numCache>
            </c:numRef>
          </c:yVal>
          <c:smooth val="0"/>
          <c:extLst>
            <c:ext xmlns:c15="http://schemas.microsoft.com/office/drawing/2012/chart" uri="{02D57815-91ED-43cb-92C2-25804820EDAC}">
              <c15:datalabelsRange>
                <c15:f>rivermg_1462227529_121!$AP$10:$AP$21</c15:f>
                <c15:dlblRangeCache>
                  <c:ptCount val="12"/>
                  <c:pt idx="0">
                    <c:v>2015</c:v>
                  </c:pt>
                  <c:pt idx="1">
                    <c:v>2014</c:v>
                  </c:pt>
                  <c:pt idx="2">
                    <c:v>2013</c:v>
                  </c:pt>
                  <c:pt idx="3">
                    <c:v>2012</c:v>
                  </c:pt>
                  <c:pt idx="4">
                    <c:v>2011</c:v>
                  </c:pt>
                  <c:pt idx="5">
                    <c:v>2010</c:v>
                  </c:pt>
                  <c:pt idx="6">
                    <c:v>2009</c:v>
                  </c:pt>
                  <c:pt idx="7">
                    <c:v>2008</c:v>
                  </c:pt>
                  <c:pt idx="8">
                    <c:v>2007</c:v>
                  </c:pt>
                  <c:pt idx="9">
                    <c:v>2006</c:v>
                  </c:pt>
                  <c:pt idx="10">
                    <c:v>2005</c:v>
                  </c:pt>
                  <c:pt idx="11">
                    <c:v>2004</c:v>
                  </c:pt>
                </c15:dlblRangeCache>
              </c15:datalabelsRange>
            </c:ext>
          </c:extLst>
        </c:ser>
        <c:ser>
          <c:idx val="1"/>
          <c:order val="1"/>
          <c:tx>
            <c:v>Regression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rivermg_1462227529_121!$BB$75:$BB$84</c:f>
              <c:numCache>
                <c:formatCode>General</c:formatCode>
                <c:ptCount val="10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</c:numCache>
            </c:numRef>
          </c:xVal>
          <c:yVal>
            <c:numRef>
              <c:f>rivermg_1462227529_121!$BC$75:$BC$84</c:f>
              <c:numCache>
                <c:formatCode>General</c:formatCode>
                <c:ptCount val="10"/>
                <c:pt idx="0">
                  <c:v>178.83949999999999</c:v>
                </c:pt>
                <c:pt idx="1">
                  <c:v>184.24099999999999</c:v>
                </c:pt>
                <c:pt idx="2">
                  <c:v>189.64249999999998</c:v>
                </c:pt>
                <c:pt idx="3">
                  <c:v>195.04399999999998</c:v>
                </c:pt>
                <c:pt idx="4">
                  <c:v>200.44549999999998</c:v>
                </c:pt>
                <c:pt idx="5">
                  <c:v>205.84699999999998</c:v>
                </c:pt>
                <c:pt idx="6">
                  <c:v>211.24849999999998</c:v>
                </c:pt>
                <c:pt idx="7">
                  <c:v>216.64999999999998</c:v>
                </c:pt>
                <c:pt idx="8">
                  <c:v>222.05149999999998</c:v>
                </c:pt>
                <c:pt idx="9">
                  <c:v>227.45299999999997</c:v>
                </c:pt>
              </c:numCache>
            </c:numRef>
          </c:yVal>
          <c:smooth val="0"/>
        </c:ser>
        <c:ser>
          <c:idx val="2"/>
          <c:order val="2"/>
          <c:tx>
            <c:v>2016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34925">
                <a:solidFill>
                  <a:srgbClr val="FF0000"/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fld id="{AA89950A-EB2A-4977-8B57-62C823F70412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rivermg_1462227529_121!$AU$9</c:f>
              <c:numCache>
                <c:formatCode>General</c:formatCode>
                <c:ptCount val="1"/>
                <c:pt idx="0">
                  <c:v>0.2</c:v>
                </c:pt>
              </c:numCache>
            </c:numRef>
          </c:xVal>
          <c:yVal>
            <c:numRef>
              <c:f>rivermg_1462227529_121!$AV$9</c:f>
              <c:numCache>
                <c:formatCode>General</c:formatCode>
                <c:ptCount val="1"/>
                <c:pt idx="0">
                  <c:v>184.24099999999999</c:v>
                </c:pt>
              </c:numCache>
            </c:numRef>
          </c:yVal>
          <c:smooth val="0"/>
          <c:extLst>
            <c:ext xmlns:c15="http://schemas.microsoft.com/office/drawing/2012/chart" uri="{02D57815-91ED-43cb-92C2-25804820EDAC}">
              <c15:datalabelsRange>
                <c15:f>rivermg_1462227529_121!$AP$9</c15:f>
                <c15:dlblRangeCache>
                  <c:ptCount val="1"/>
                  <c:pt idx="0">
                    <c:v>2016</c:v>
                  </c:pt>
                </c15:dlblRangeCache>
              </c15:datalabelsRang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931136"/>
        <c:axId val="43933056"/>
      </c:scatterChart>
      <c:valAx>
        <c:axId val="4393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Snow Water Equivalent (National Weather Service)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33056"/>
        <c:crosses val="autoZero"/>
        <c:crossBetween val="midCat"/>
      </c:valAx>
      <c:valAx>
        <c:axId val="4393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Day of 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31136"/>
        <c:crosses val="autoZero"/>
        <c:crossBetween val="midCat"/>
        <c:majorUnit val="10"/>
        <c:minorUnit val="1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0.49221</cdr:x>
      <cdr:y>0.67006</cdr:y>
    </cdr:from>
    <cdr:to>
      <cdr:x>0.76538</cdr:x>
      <cdr:y>0.80904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64925" y="4215168"/>
          <a:ext cx="2367034" cy="8743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0.48236</cdr:x>
      <cdr:y>0.55028</cdr:y>
    </cdr:from>
    <cdr:to>
      <cdr:x>0.77112</cdr:x>
      <cdr:y>0.68814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179627" y="3461698"/>
          <a:ext cx="2502089" cy="8672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Linear regression</a:t>
          </a:r>
        </a:p>
        <a:p xmlns:a="http://schemas.openxmlformats.org/drawingml/2006/main">
          <a:r>
            <a:rPr lang="en-US" sz="1100"/>
            <a:t>First day &gt;</a:t>
          </a:r>
          <a:r>
            <a:rPr lang="en-US" sz="1100" baseline="0"/>
            <a:t> 19°C=173.438+(54.015*SWE)</a:t>
          </a:r>
        </a:p>
        <a:p xmlns:a="http://schemas.openxmlformats.org/drawingml/2006/main">
          <a:r>
            <a:rPr lang="en-US" sz="1100" baseline="0"/>
            <a:t>r squared=0.683</a:t>
          </a:r>
          <a:endParaRPr lang="en-US" sz="1100"/>
        </a:p>
      </cdr:txBody>
    </cdr:sp>
  </cdr:relSizeAnchor>
  <cdr:relSizeAnchor xmlns:cdr="http://schemas.openxmlformats.org/drawingml/2006/chartDrawing">
    <cdr:from>
      <cdr:x>0.13864</cdr:x>
      <cdr:y>0.25311</cdr:y>
    </cdr:from>
    <cdr:to>
      <cdr:x>0.82363</cdr:x>
      <cdr:y>0.39774</cdr:y>
    </cdr:to>
    <cdr:cxnSp macro="">
      <cdr:nvCxnSpPr>
        <cdr:cNvPr id="5" name="Straight Connector 4"/>
        <cdr:cNvCxnSpPr/>
      </cdr:nvCxnSpPr>
      <cdr:spPr>
        <a:xfrm xmlns:a="http://schemas.openxmlformats.org/drawingml/2006/main" flipV="1">
          <a:off x="1201288" y="1592238"/>
          <a:ext cx="5935354" cy="909851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FFC000"/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0.06481</cdr:x>
      <cdr:y>0.38757</cdr:y>
    </cdr:from>
    <cdr:to>
      <cdr:x>0.17034</cdr:x>
      <cdr:y>0.53293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561549" y="243811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0.06071</cdr:x>
      <cdr:y>0.32881</cdr:y>
    </cdr:from>
    <cdr:to>
      <cdr:x>0.16623</cdr:x>
      <cdr:y>0.47417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526008" y="2068489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July 1= day 182</a:t>
          </a:r>
        </a:p>
      </cdr:txBody>
    </cdr:sp>
  </cdr:relSizeAnchor>
  <cdr:relSizeAnchor xmlns:cdr="http://schemas.openxmlformats.org/drawingml/2006/chartDrawing">
    <cdr:from>
      <cdr:x>0.49385</cdr:x>
      <cdr:y>0.67119</cdr:y>
    </cdr:from>
    <cdr:to>
      <cdr:x>0.59938</cdr:x>
      <cdr:y>0.81654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4279142" y="422227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2016 estimate</a:t>
          </a:r>
        </a:p>
        <a:p xmlns:a="http://schemas.openxmlformats.org/drawingml/2006/main">
          <a:r>
            <a:rPr lang="en-US" sz="1100"/>
            <a:t>July 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Blane Bellerud</dc:creator>
  <cp:lastModifiedBy>Bill</cp:lastModifiedBy>
  <cp:revision>2</cp:revision>
  <dcterms:created xsi:type="dcterms:W3CDTF">2016-05-05T23:55:00Z</dcterms:created>
  <dcterms:modified xsi:type="dcterms:W3CDTF">2016-05-05T23:55:00Z</dcterms:modified>
</cp:coreProperties>
</file>